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E0" w:rsidRDefault="000223E0" w:rsidP="000223E0">
      <w:pPr>
        <w:ind w:left="-567"/>
        <w:rPr>
          <w:rFonts w:ascii="Century Gothic" w:hAnsi="Century Gothic"/>
          <w:b/>
          <w:noProof/>
          <w:sz w:val="24"/>
          <w:szCs w:val="24"/>
          <w:lang w:eastAsia="it-IT"/>
        </w:rPr>
      </w:pPr>
      <w:r>
        <w:rPr>
          <w:rFonts w:ascii="Century Gothic" w:hAnsi="Century Gothic"/>
          <w:b/>
          <w:noProof/>
          <w:sz w:val="24"/>
          <w:szCs w:val="24"/>
          <w:lang w:eastAsia="it-IT"/>
        </w:rPr>
        <w:t>COSTRUZIONI IN MURATURA ORDINARIA ED ARMATA</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I requisiti richiesti sono riassunti nei seguenti 12 punti.</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b/>
          <w:bCs/>
          <w:noProof/>
          <w:sz w:val="24"/>
          <w:szCs w:val="24"/>
          <w:lang w:eastAsia="it-IT"/>
        </w:rPr>
        <w:t>1. Continuità della muratura fino in fondazione</w:t>
      </w:r>
      <w:r w:rsidRPr="000223E0">
        <w:rPr>
          <w:rFonts w:ascii="Century Gothic" w:hAnsi="Century Gothic"/>
          <w:noProof/>
          <w:sz w:val="24"/>
          <w:szCs w:val="24"/>
          <w:lang w:eastAsia="it-IT"/>
        </w:rPr>
        <w:br/>
        <w:t>La muratura portante deve essere continua fino in fondazione. Sono ammesse configurazioni in elevazione di strutture simili a quella riportata in “a” di figura 1, mentre non sono ammesse quelle con configurazione in elevazione simili a quella riportata in “b” della stessa figura.</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drawing>
          <wp:inline distT="0" distB="0" distL="0" distR="0">
            <wp:extent cx="6515100" cy="2871933"/>
            <wp:effectExtent l="19050" t="0" r="0" b="0"/>
            <wp:docPr id="57" name="Immagine 57" descr="https://www.edificiinmuratura.it/userfiles/Articoli/9_CostruzioniSemplici/immag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edificiinmuratura.it/userfiles/Articoli/9_CostruzioniSemplici/immagine1.jpg"/>
                    <pic:cNvPicPr>
                      <a:picLocks noChangeAspect="1" noChangeArrowheads="1"/>
                    </pic:cNvPicPr>
                  </pic:nvPicPr>
                  <pic:blipFill>
                    <a:blip r:embed="rId5" cstate="print"/>
                    <a:srcRect/>
                    <a:stretch>
                      <a:fillRect/>
                    </a:stretch>
                  </pic:blipFill>
                  <pic:spPr bwMode="auto">
                    <a:xfrm>
                      <a:off x="0" y="0"/>
                      <a:ext cx="6515100" cy="2871933"/>
                    </a:xfrm>
                    <a:prstGeom prst="rect">
                      <a:avLst/>
                    </a:prstGeom>
                    <a:noFill/>
                    <a:ln w="9525">
                      <a:noFill/>
                      <a:miter lim="800000"/>
                      <a:headEnd/>
                      <a:tailEnd/>
                    </a:ln>
                  </pic:spPr>
                </pic:pic>
              </a:graphicData>
            </a:graphic>
          </wp:inline>
        </w:drawing>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Figura 1</w:t>
      </w:r>
      <w:r w:rsidRPr="000223E0">
        <w:rPr>
          <w:rFonts w:ascii="Century Gothic" w:hAnsi="Century Gothic"/>
          <w:i/>
          <w:iCs/>
          <w:noProof/>
          <w:sz w:val="24"/>
          <w:szCs w:val="24"/>
          <w:lang w:eastAsia="it-IT"/>
        </w:rPr>
        <w:t xml:space="preserve"> – a) Configurazione di parete accettabile;                                 b) Configurazione di parete non accettabile</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b/>
          <w:bCs/>
          <w:noProof/>
          <w:sz w:val="24"/>
          <w:szCs w:val="24"/>
          <w:lang w:eastAsia="it-IT"/>
        </w:rPr>
        <w:t>2. L’interpiano non deve essere superiore a 3.5 m.</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b/>
          <w:bCs/>
          <w:noProof/>
          <w:sz w:val="24"/>
          <w:szCs w:val="24"/>
          <w:lang w:eastAsia="it-IT"/>
        </w:rPr>
        <w:t>3. Il numero dei piani non deve essere superiore a 3 per edifici in muratura ordinaria ed a 4 per quelli in muratura armata.</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b/>
          <w:bCs/>
          <w:noProof/>
          <w:sz w:val="24"/>
          <w:szCs w:val="24"/>
          <w:lang w:eastAsia="it-IT"/>
        </w:rPr>
        <w:t>4. La lunghezza del lato maggiore può essere al massimo tre volte quella del lato minore</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Si intendono come lati ai fini della verifica quelli del rettangolo che include perfettamente l’edificio. Dati i lati del suddetto rettangolo “a” e “b”, con “a” &lt; “b”, la verifica si ritiene soddisfatta quando è verificata la seguente condizione:</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 xml:space="preserve">            </w:t>
      </w:r>
      <w:r w:rsidRPr="000223E0">
        <w:rPr>
          <w:rFonts w:ascii="Century Gothic" w:hAnsi="Century Gothic"/>
          <w:noProof/>
          <w:sz w:val="24"/>
          <w:szCs w:val="24"/>
          <w:lang w:eastAsia="it-IT"/>
        </w:rPr>
        <w:drawing>
          <wp:inline distT="0" distB="0" distL="0" distR="0">
            <wp:extent cx="1581150" cy="1259847"/>
            <wp:effectExtent l="19050" t="0" r="0" b="0"/>
            <wp:docPr id="58" name="Immagine 58" descr="https://www.edificiinmuratura.it/userfiles/Articoli/9_CostruzioniSemplici/immag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edificiinmuratura.it/userfiles/Articoli/9_CostruzioniSemplici/immagine2.jpg"/>
                    <pic:cNvPicPr>
                      <a:picLocks noChangeAspect="1" noChangeArrowheads="1"/>
                    </pic:cNvPicPr>
                  </pic:nvPicPr>
                  <pic:blipFill>
                    <a:blip r:embed="rId6" cstate="print"/>
                    <a:srcRect/>
                    <a:stretch>
                      <a:fillRect/>
                    </a:stretch>
                  </pic:blipFill>
                  <pic:spPr bwMode="auto">
                    <a:xfrm>
                      <a:off x="0" y="0"/>
                      <a:ext cx="1581150" cy="1259847"/>
                    </a:xfrm>
                    <a:prstGeom prst="rect">
                      <a:avLst/>
                    </a:prstGeom>
                    <a:noFill/>
                    <a:ln w="9525">
                      <a:noFill/>
                      <a:miter lim="800000"/>
                      <a:headEnd/>
                      <a:tailEnd/>
                    </a:ln>
                  </pic:spPr>
                </pic:pic>
              </a:graphicData>
            </a:graphic>
          </wp:inline>
        </w:drawing>
      </w:r>
      <w:r w:rsidRPr="000223E0">
        <w:rPr>
          <w:rFonts w:ascii="Century Gothic" w:hAnsi="Century Gothic"/>
          <w:noProof/>
          <w:sz w:val="24"/>
          <w:szCs w:val="24"/>
          <w:lang w:eastAsia="it-IT"/>
        </w:rPr>
        <w:t>                        (1)</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 xml:space="preserve">Secondo questa prescrizione non sono ammesse configurazioni in pianta come quella riportata in “a” di figura 2, mentre sono accettate configurazione come quella riportata in </w:t>
      </w:r>
      <w:r w:rsidRPr="000223E0">
        <w:rPr>
          <w:rFonts w:ascii="Century Gothic" w:hAnsi="Century Gothic"/>
          <w:noProof/>
          <w:sz w:val="24"/>
          <w:szCs w:val="24"/>
          <w:lang w:eastAsia="it-IT"/>
        </w:rPr>
        <w:lastRenderedPageBreak/>
        <w:t>“b” della stessa figura. Nel primo caso il rapporto tra il lato minore e quello maggiore è 5/16 = 0.3125, minore del limite 1/3. Nel secondo caso, anche se la pianta è più irregolare, rientra nella corrente prescrizione di normativa in quanto il rettangolo che inscrive la pianta dell’edificio ha lati tale che il loro rapporto sia 7/16 = 0.4375, maggiore del limite 1/3.</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drawing>
          <wp:inline distT="0" distB="0" distL="0" distR="0">
            <wp:extent cx="6867525" cy="5400675"/>
            <wp:effectExtent l="19050" t="0" r="9525" b="0"/>
            <wp:docPr id="59" name="Immagine 59" descr="https://www.edificiinmuratura.it/userfiles/Articoli/9_CostruzioniSemplici/immagi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edificiinmuratura.it/userfiles/Articoli/9_CostruzioniSemplici/immagine3.jpg"/>
                    <pic:cNvPicPr>
                      <a:picLocks noChangeAspect="1" noChangeArrowheads="1"/>
                    </pic:cNvPicPr>
                  </pic:nvPicPr>
                  <pic:blipFill>
                    <a:blip r:embed="rId7" cstate="print"/>
                    <a:srcRect/>
                    <a:stretch>
                      <a:fillRect/>
                    </a:stretch>
                  </pic:blipFill>
                  <pic:spPr bwMode="auto">
                    <a:xfrm>
                      <a:off x="0" y="0"/>
                      <a:ext cx="6867525" cy="5400675"/>
                    </a:xfrm>
                    <a:prstGeom prst="rect">
                      <a:avLst/>
                    </a:prstGeom>
                    <a:noFill/>
                    <a:ln w="9525">
                      <a:noFill/>
                      <a:miter lim="800000"/>
                      <a:headEnd/>
                      <a:tailEnd/>
                    </a:ln>
                  </pic:spPr>
                </pic:pic>
              </a:graphicData>
            </a:graphic>
          </wp:inline>
        </w:drawing>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Figura 2</w:t>
      </w:r>
      <w:r w:rsidRPr="000223E0">
        <w:rPr>
          <w:rFonts w:ascii="Century Gothic" w:hAnsi="Century Gothic"/>
          <w:i/>
          <w:iCs/>
          <w:noProof/>
          <w:sz w:val="24"/>
          <w:szCs w:val="24"/>
          <w:lang w:eastAsia="it-IT"/>
        </w:rPr>
        <w:t xml:space="preserve"> – a) Distribuzione in pianta non accettabile; b) Distribuzione in pianta accettabile</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 </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b/>
          <w:bCs/>
          <w:noProof/>
          <w:sz w:val="24"/>
          <w:szCs w:val="24"/>
          <w:lang w:eastAsia="it-IT"/>
        </w:rPr>
        <w:t xml:space="preserve">5. La snellezza delle pareti deve essere inferiore a 12. </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b/>
          <w:bCs/>
          <w:noProof/>
          <w:sz w:val="24"/>
          <w:szCs w:val="24"/>
          <w:lang w:eastAsia="it-IT"/>
        </w:rPr>
        <w:t>6. Il carico variabile deve essere non superiore a 3.0 kN/m</w:t>
      </w:r>
      <w:r w:rsidRPr="000223E0">
        <w:rPr>
          <w:rFonts w:ascii="Century Gothic" w:hAnsi="Century Gothic"/>
          <w:b/>
          <w:bCs/>
          <w:noProof/>
          <w:sz w:val="24"/>
          <w:szCs w:val="24"/>
          <w:vertAlign w:val="superscript"/>
          <w:lang w:eastAsia="it-IT"/>
        </w:rPr>
        <w:t>2</w:t>
      </w:r>
      <w:r w:rsidRPr="000223E0">
        <w:rPr>
          <w:rFonts w:ascii="Century Gothic" w:hAnsi="Century Gothic"/>
          <w:b/>
          <w:bCs/>
          <w:noProof/>
          <w:sz w:val="24"/>
          <w:szCs w:val="24"/>
          <w:lang w:eastAsia="it-IT"/>
        </w:rPr>
        <w:t>.</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b/>
          <w:bCs/>
          <w:noProof/>
          <w:sz w:val="24"/>
          <w:szCs w:val="24"/>
          <w:lang w:eastAsia="it-IT"/>
        </w:rPr>
        <w:t>7. L’edificio deve essere regolare sia in pianta che in elevazione</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 xml:space="preserve">Affinché un edificio sia regolare, devono essere rispettate tutte le prescrizioni riportate nel punto 7.2.2 del D.M. 14/01/2008 (Per un trattamento completo sulla regolarità delle costruzioni in muratura è possibile scaricare il documento </w:t>
      </w:r>
      <w:hyperlink r:id="rId8" w:anchor=".VorhHk_gGCk" w:history="1">
        <w:r w:rsidRPr="000223E0">
          <w:rPr>
            <w:rStyle w:val="Collegamentoipertestuale"/>
            <w:rFonts w:ascii="Century Gothic" w:hAnsi="Century Gothic"/>
            <w:i/>
            <w:iCs/>
            <w:noProof/>
            <w:sz w:val="24"/>
            <w:szCs w:val="24"/>
            <w:lang w:eastAsia="it-IT"/>
          </w:rPr>
          <w:t>Pres</w:t>
        </w:r>
        <w:r w:rsidRPr="000223E0">
          <w:rPr>
            <w:rStyle w:val="Collegamentoipertestuale"/>
            <w:rFonts w:ascii="Century Gothic" w:hAnsi="Century Gothic"/>
            <w:i/>
            <w:iCs/>
            <w:noProof/>
            <w:sz w:val="24"/>
            <w:szCs w:val="24"/>
            <w:lang w:eastAsia="it-IT"/>
          </w:rPr>
          <w:t>c</w:t>
        </w:r>
        <w:r w:rsidRPr="000223E0">
          <w:rPr>
            <w:rStyle w:val="Collegamentoipertestuale"/>
            <w:rFonts w:ascii="Century Gothic" w:hAnsi="Century Gothic"/>
            <w:i/>
            <w:iCs/>
            <w:noProof/>
            <w:sz w:val="24"/>
            <w:szCs w:val="24"/>
            <w:lang w:eastAsia="it-IT"/>
          </w:rPr>
          <w:t>rizioni per la regolarità degli edifici in muratura</w:t>
        </w:r>
      </w:hyperlink>
      <w:r w:rsidRPr="000223E0">
        <w:rPr>
          <w:rFonts w:ascii="Century Gothic" w:hAnsi="Century Gothic"/>
          <w:noProof/>
          <w:sz w:val="24"/>
          <w:szCs w:val="24"/>
          <w:lang w:eastAsia="it-IT"/>
        </w:rPr>
        <w:t>).</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lastRenderedPageBreak/>
        <w:t> </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b/>
          <w:bCs/>
          <w:noProof/>
          <w:sz w:val="24"/>
          <w:szCs w:val="24"/>
          <w:lang w:eastAsia="it-IT"/>
        </w:rPr>
        <w:t>8. Prescrizioni per sistemi di parete</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In ciascuna delle due direzioni dell’edificio devono essere previsti due sistemi di parete. Per ogni sistema di parete, la lunghezza complessiva, al netto delle aperture, deve essere non inferiore al 50% della dimensione della costruzione nella medesima direzione. La distanza tra questi due sistemi di pareti in direzione ortogonale al loro sviluppo longitudinale in pianta non deve essere inferiore al 75% della dimensione della costruzione nella medesima direzione (ortogonale alle pareti – vedi figura 3). In definitiva, devono essere verificate le seguenti condizioni:</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         a’ &gt; 0.5 ∙ a          (2.a)</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         b’ &gt; 0.75 ∙ b        (2.b)</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dove</w:t>
      </w:r>
    </w:p>
    <w:p w:rsidR="000223E0" w:rsidRPr="000223E0" w:rsidRDefault="000223E0" w:rsidP="000223E0">
      <w:pPr>
        <w:numPr>
          <w:ilvl w:val="0"/>
          <w:numId w:val="1"/>
        </w:numPr>
        <w:rPr>
          <w:rFonts w:ascii="Century Gothic" w:hAnsi="Century Gothic"/>
          <w:noProof/>
          <w:sz w:val="24"/>
          <w:szCs w:val="24"/>
          <w:lang w:eastAsia="it-IT"/>
        </w:rPr>
      </w:pPr>
      <w:r w:rsidRPr="000223E0">
        <w:rPr>
          <w:rFonts w:ascii="Century Gothic" w:hAnsi="Century Gothic"/>
          <w:noProof/>
          <w:sz w:val="24"/>
          <w:szCs w:val="24"/>
          <w:lang w:eastAsia="it-IT"/>
        </w:rPr>
        <w:t xml:space="preserve">a’ è la somma delle lunghezze degli elementi idonei (che rispettano la </w:t>
      </w:r>
      <w:hyperlink r:id="rId9" w:history="1">
        <w:r w:rsidRPr="000223E0">
          <w:rPr>
            <w:rStyle w:val="Collegamentoipertestuale"/>
            <w:rFonts w:ascii="Century Gothic" w:hAnsi="Century Gothic"/>
            <w:noProof/>
            <w:sz w:val="24"/>
            <w:szCs w:val="24"/>
            <w:lang w:eastAsia="it-IT"/>
          </w:rPr>
          <w:t>tabella 7.8.II del D.M. 14/01/2008</w:t>
        </w:r>
      </w:hyperlink>
      <w:r w:rsidRPr="000223E0">
        <w:rPr>
          <w:rFonts w:ascii="Century Gothic" w:hAnsi="Century Gothic"/>
          <w:noProof/>
          <w:sz w:val="24"/>
          <w:szCs w:val="24"/>
          <w:lang w:eastAsia="it-IT"/>
        </w:rPr>
        <w:t>) di ogni singolo sistema di pareti;</w:t>
      </w:r>
    </w:p>
    <w:p w:rsidR="000223E0" w:rsidRPr="000223E0" w:rsidRDefault="000223E0" w:rsidP="000223E0">
      <w:pPr>
        <w:numPr>
          <w:ilvl w:val="0"/>
          <w:numId w:val="1"/>
        </w:numPr>
        <w:rPr>
          <w:rFonts w:ascii="Century Gothic" w:hAnsi="Century Gothic"/>
          <w:noProof/>
          <w:sz w:val="24"/>
          <w:szCs w:val="24"/>
          <w:lang w:eastAsia="it-IT"/>
        </w:rPr>
      </w:pPr>
      <w:r w:rsidRPr="000223E0">
        <w:rPr>
          <w:rFonts w:ascii="Century Gothic" w:hAnsi="Century Gothic"/>
          <w:noProof/>
          <w:sz w:val="24"/>
          <w:szCs w:val="24"/>
          <w:lang w:eastAsia="it-IT"/>
        </w:rPr>
        <w:t>a è la dimensione dell’edificio nella direzione parallela a quella del sistema di pareti che si sta considerando;</w:t>
      </w:r>
    </w:p>
    <w:p w:rsidR="000223E0" w:rsidRPr="000223E0" w:rsidRDefault="000223E0" w:rsidP="000223E0">
      <w:pPr>
        <w:numPr>
          <w:ilvl w:val="0"/>
          <w:numId w:val="1"/>
        </w:numPr>
        <w:rPr>
          <w:rFonts w:ascii="Century Gothic" w:hAnsi="Century Gothic"/>
          <w:noProof/>
          <w:sz w:val="24"/>
          <w:szCs w:val="24"/>
          <w:lang w:eastAsia="it-IT"/>
        </w:rPr>
      </w:pPr>
      <w:r w:rsidRPr="000223E0">
        <w:rPr>
          <w:rFonts w:ascii="Century Gothic" w:hAnsi="Century Gothic"/>
          <w:noProof/>
          <w:sz w:val="24"/>
          <w:szCs w:val="24"/>
          <w:lang w:eastAsia="it-IT"/>
        </w:rPr>
        <w:t>b’ è la distanza tra i sistemi di pareti;</w:t>
      </w:r>
    </w:p>
    <w:p w:rsidR="000223E0" w:rsidRPr="000223E0" w:rsidRDefault="000223E0" w:rsidP="000223E0">
      <w:pPr>
        <w:numPr>
          <w:ilvl w:val="0"/>
          <w:numId w:val="1"/>
        </w:numPr>
        <w:rPr>
          <w:rFonts w:ascii="Century Gothic" w:hAnsi="Century Gothic"/>
          <w:noProof/>
          <w:sz w:val="24"/>
          <w:szCs w:val="24"/>
          <w:lang w:eastAsia="it-IT"/>
        </w:rPr>
      </w:pPr>
      <w:r w:rsidRPr="000223E0">
        <w:rPr>
          <w:rFonts w:ascii="Century Gothic" w:hAnsi="Century Gothic"/>
          <w:noProof/>
          <w:sz w:val="24"/>
          <w:szCs w:val="24"/>
          <w:lang w:eastAsia="it-IT"/>
        </w:rPr>
        <w:t>b è la lunghezza massima dell’edificio nella direzione ortogonale a quella dei sistemi di pareti.</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lastRenderedPageBreak/>
        <w:drawing>
          <wp:inline distT="0" distB="0" distL="0" distR="0">
            <wp:extent cx="6962775" cy="4714875"/>
            <wp:effectExtent l="19050" t="0" r="9525" b="0"/>
            <wp:docPr id="60" name="Immagine 60" descr="https://www.edificiinmuratura.it/userfiles/Articoli/9_CostruzioniSemplici/immagin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edificiinmuratura.it/userfiles/Articoli/9_CostruzioniSemplici/immagine4.jpg"/>
                    <pic:cNvPicPr>
                      <a:picLocks noChangeAspect="1" noChangeArrowheads="1"/>
                    </pic:cNvPicPr>
                  </pic:nvPicPr>
                  <pic:blipFill>
                    <a:blip r:embed="rId10" cstate="print"/>
                    <a:srcRect/>
                    <a:stretch>
                      <a:fillRect/>
                    </a:stretch>
                  </pic:blipFill>
                  <pic:spPr bwMode="auto">
                    <a:xfrm>
                      <a:off x="0" y="0"/>
                      <a:ext cx="6962775" cy="4714875"/>
                    </a:xfrm>
                    <a:prstGeom prst="rect">
                      <a:avLst/>
                    </a:prstGeom>
                    <a:noFill/>
                    <a:ln w="9525">
                      <a:noFill/>
                      <a:miter lim="800000"/>
                      <a:headEnd/>
                      <a:tailEnd/>
                    </a:ln>
                  </pic:spPr>
                </pic:pic>
              </a:graphicData>
            </a:graphic>
          </wp:inline>
        </w:drawing>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Figura 3</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Per capire meglio il concetto, si effettua di seguito un piccolo esempio. Presa in considerazione la pianta di figura 3, la parete denominata con P1 è composta da quattro maschi murari. La somma delle lunghezze dei quattro maschi è pari a a’ = 1590 cm. Tenendo conto della (2.a) e della lunghezza dell’edificio si ha:</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                        a’ = 1590 cm &gt; 0.5 ∙ 2485 cm = 1242.5 cm</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La somma delle lunghezze dei maschi murari della parete P1 è maggiore del 50% della lunghezza dell’edificio nella medesima direzione per cui la parete può essere considerata il primo sistema di pareti.</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 xml:space="preserve">Prendiamo adesso in considerazione la parete P4. Per le loro modeste dimensioni, ipotizziamo che i maschi indicati con i numeri 9 e 12 non rispettano i requisiti richiesti dalla </w:t>
      </w:r>
      <w:hyperlink r:id="rId11" w:history="1">
        <w:r w:rsidRPr="000223E0">
          <w:rPr>
            <w:rStyle w:val="Collegamentoipertestuale"/>
            <w:rFonts w:ascii="Century Gothic" w:hAnsi="Century Gothic"/>
            <w:noProof/>
            <w:sz w:val="24"/>
            <w:szCs w:val="24"/>
            <w:lang w:eastAsia="it-IT"/>
          </w:rPr>
          <w:t>tabella 7.8.II del D.M. 14/01/2008</w:t>
        </w:r>
      </w:hyperlink>
      <w:r w:rsidRPr="000223E0">
        <w:rPr>
          <w:rFonts w:ascii="Century Gothic" w:hAnsi="Century Gothic"/>
          <w:noProof/>
          <w:sz w:val="24"/>
          <w:szCs w:val="24"/>
          <w:lang w:eastAsia="it-IT"/>
        </w:rPr>
        <w:t>, per cui non computabili. Rimangono come elementi idonei quelli denominati con i numeri 10 ed 11 la cui somma delle lunghezze è pari a a’ = 855 cm. Tenendo conto della (2.a) e della lunghezza dell’edificio si ha:</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                        a’ = 855 cm &lt; 0.5 ∙ 2485 cm = 1242.5 cm</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lastRenderedPageBreak/>
        <w:t>Per questa parete la somma delle lunghezze dei maschi murari è inferiore al 50% della lunghezza dell’edificio nella medesima direzione, per cui la parete P4 non è idonea a costituire il secondo sistema di pareti.</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Non essendo idonea la parete P4, si analizza la parete P3. Per quest’ultima la somma delle lunghezze dei maschi murari è pari a a’ = 2185 cm. Tenendo conto della (2.a) e della lunghezza dell’edificio si ha:</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                        a’ = 2185 cm &gt; 0.5 ∙ 2485 cm = 1242.5 cm</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Per questa parete la somma delle lunghezze dei maschi murari è maggiore del 50% della lunghezza dell’edificio. Per essere idonea a costituire il secondo sistema di pareti occorre verificare che la distanza degli interassi tra le pareti P1 e P3 sia maggiore o uguale del 75% della lunghezza dell’edificio nella direzione ortogonale a quella delle stesse pareti. Tenendo conto della (2.b) e della lunghezza dell’edificio nella direzione ortogonale a quella delle pareti si ha:</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                        b’ = 1350 cm &gt; 0.75 ∙ 1700 cm = 1275 cm</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In definitiva, le pareti P1 e P3 costituiscono i due sistemi di pareti richiesti.</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Per concludere, diciamo brevemente che un sistema di pareti può essere composto anche da più pareti. Per esempio, se la somma delle lunghezze dei maschi murari della parete P3 fosse inferiore al 50% della lunghezza dell’edificio, si sarebbe potuto unire alla parete P4 (sommando i maschi di entrambe le pareti). Per verificare la (2.b), si prende come distanza tra l’asse della parete P1 ed il baricentro delle pareti P3 e P4.</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 </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b/>
          <w:bCs/>
          <w:noProof/>
          <w:sz w:val="24"/>
          <w:szCs w:val="24"/>
          <w:lang w:eastAsia="it-IT"/>
        </w:rPr>
        <w:t xml:space="preserve">9. Almeno il 75% dei carichi verticali sia portato da pareti che facciano parte del sistema resistente alle azioni orizzontali </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 xml:space="preserve">Le pareti che fanno parte del sistema resistente alle azioni sismiche sono quelle che rispettano i limiti imposti dalla </w:t>
      </w:r>
      <w:hyperlink r:id="rId12" w:history="1">
        <w:r w:rsidRPr="000223E0">
          <w:rPr>
            <w:rStyle w:val="Collegamentoipertestuale"/>
            <w:rFonts w:ascii="Century Gothic" w:hAnsi="Century Gothic"/>
            <w:noProof/>
            <w:sz w:val="24"/>
            <w:szCs w:val="24"/>
            <w:lang w:eastAsia="it-IT"/>
          </w:rPr>
          <w:t>7.8.II del D.M. 14/01/2008</w:t>
        </w:r>
      </w:hyperlink>
      <w:r w:rsidRPr="000223E0">
        <w:rPr>
          <w:rFonts w:ascii="Century Gothic" w:hAnsi="Century Gothic"/>
          <w:noProof/>
          <w:sz w:val="24"/>
          <w:szCs w:val="24"/>
          <w:lang w:eastAsia="it-IT"/>
        </w:rPr>
        <w:t>. In definitiva, le pareti che non rispettano i suddetti limiti possono portare al massimo il 25% dei carichi verticali.</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 </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b/>
          <w:bCs/>
          <w:noProof/>
          <w:sz w:val="24"/>
          <w:szCs w:val="24"/>
          <w:lang w:eastAsia="it-IT"/>
        </w:rPr>
        <w:t>10. La distanza massima tra due pareti parallele deve essere di 7 m per la muratura ordinaria e di 9 per la muratura armata.</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 </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b/>
          <w:bCs/>
          <w:noProof/>
          <w:sz w:val="24"/>
          <w:szCs w:val="24"/>
          <w:lang w:eastAsia="it-IT"/>
        </w:rPr>
        <w:t>11. Il rapporto tra l‘area della muratura resistente nelle due direzioni e la superficie lorda dell’edificio deve rispettare i limiti riportati nella tabella 1</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lastRenderedPageBreak/>
        <w:drawing>
          <wp:inline distT="0" distB="0" distL="0" distR="0">
            <wp:extent cx="9172575" cy="3333750"/>
            <wp:effectExtent l="19050" t="0" r="9525" b="0"/>
            <wp:docPr id="61" name="Immagine 61" descr="https://www.edificiinmuratura.it/userfiles/Articoli/9_CostruzioniSemplici/immagin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edificiinmuratura.it/userfiles/Articoli/9_CostruzioniSemplici/immagine5.jpg"/>
                    <pic:cNvPicPr>
                      <a:picLocks noChangeAspect="1" noChangeArrowheads="1"/>
                    </pic:cNvPicPr>
                  </pic:nvPicPr>
                  <pic:blipFill>
                    <a:blip r:embed="rId13" cstate="print"/>
                    <a:srcRect/>
                    <a:stretch>
                      <a:fillRect/>
                    </a:stretch>
                  </pic:blipFill>
                  <pic:spPr bwMode="auto">
                    <a:xfrm>
                      <a:off x="0" y="0"/>
                      <a:ext cx="9172575" cy="3333750"/>
                    </a:xfrm>
                    <a:prstGeom prst="rect">
                      <a:avLst/>
                    </a:prstGeom>
                    <a:noFill/>
                    <a:ln w="9525">
                      <a:noFill/>
                      <a:miter lim="800000"/>
                      <a:headEnd/>
                      <a:tailEnd/>
                    </a:ln>
                  </pic:spPr>
                </pic:pic>
              </a:graphicData>
            </a:graphic>
          </wp:inline>
        </w:drawing>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 xml:space="preserve">Tabella1 – </w:t>
      </w:r>
      <w:r w:rsidRPr="000223E0">
        <w:rPr>
          <w:rFonts w:ascii="Century Gothic" w:hAnsi="Century Gothic"/>
          <w:i/>
          <w:iCs/>
          <w:noProof/>
          <w:sz w:val="24"/>
          <w:szCs w:val="24"/>
          <w:lang w:eastAsia="it-IT"/>
        </w:rPr>
        <w:t>Percentuale di area di sezione resistente</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Il rapporto tra l‘area della muratura resistente e la superficie lorda dell’edificio deve rispettare i limiti riportati nella tabella 1. Tale rapporto deve essere rispettato per ogni piano della costruzione e per ognuna delle due direzioni principali. In formule si ha:</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br/>
        <w:t xml:space="preserve">            </w:t>
      </w:r>
      <w:r w:rsidRPr="000223E0">
        <w:rPr>
          <w:rFonts w:ascii="Century Gothic" w:hAnsi="Century Gothic"/>
          <w:noProof/>
          <w:sz w:val="24"/>
          <w:szCs w:val="24"/>
          <w:lang w:eastAsia="it-IT"/>
        </w:rPr>
        <w:drawing>
          <wp:inline distT="0" distB="0" distL="0" distR="0">
            <wp:extent cx="2847975" cy="790575"/>
            <wp:effectExtent l="19050" t="0" r="9525" b="0"/>
            <wp:docPr id="62" name="Immagine 62" descr="https://www.edificiinmuratura.it/userfiles/Articoli/9_CostruzioniSemplici/immagin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edificiinmuratura.it/userfiles/Articoli/9_CostruzioniSemplici/immagine6.jpg"/>
                    <pic:cNvPicPr>
                      <a:picLocks noChangeAspect="1" noChangeArrowheads="1"/>
                    </pic:cNvPicPr>
                  </pic:nvPicPr>
                  <pic:blipFill>
                    <a:blip r:embed="rId14" cstate="print"/>
                    <a:srcRect/>
                    <a:stretch>
                      <a:fillRect/>
                    </a:stretch>
                  </pic:blipFill>
                  <pic:spPr bwMode="auto">
                    <a:xfrm>
                      <a:off x="0" y="0"/>
                      <a:ext cx="2847975" cy="790575"/>
                    </a:xfrm>
                    <a:prstGeom prst="rect">
                      <a:avLst/>
                    </a:prstGeom>
                    <a:noFill/>
                    <a:ln w="9525">
                      <a:noFill/>
                      <a:miter lim="800000"/>
                      <a:headEnd/>
                      <a:tailEnd/>
                    </a:ln>
                  </pic:spPr>
                </pic:pic>
              </a:graphicData>
            </a:graphic>
          </wp:inline>
        </w:drawing>
      </w:r>
      <w:r w:rsidRPr="000223E0">
        <w:rPr>
          <w:rFonts w:ascii="Century Gothic" w:hAnsi="Century Gothic"/>
          <w:noProof/>
          <w:sz w:val="24"/>
          <w:szCs w:val="24"/>
          <w:lang w:eastAsia="it-IT"/>
        </w:rPr>
        <w:t>             (3.a)</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 xml:space="preserve">            </w:t>
      </w:r>
      <w:r w:rsidRPr="000223E0">
        <w:rPr>
          <w:rFonts w:ascii="Century Gothic" w:hAnsi="Century Gothic"/>
          <w:noProof/>
          <w:sz w:val="24"/>
          <w:szCs w:val="24"/>
          <w:lang w:eastAsia="it-IT"/>
        </w:rPr>
        <w:drawing>
          <wp:inline distT="0" distB="0" distL="0" distR="0">
            <wp:extent cx="2828925" cy="752475"/>
            <wp:effectExtent l="19050" t="0" r="9525" b="0"/>
            <wp:docPr id="63" name="Immagine 63" descr="https://www.edificiinmuratura.it/userfiles/Articoli/9_CostruzioniSemplici/immagin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edificiinmuratura.it/userfiles/Articoli/9_CostruzioniSemplici/immagine7.jpg"/>
                    <pic:cNvPicPr>
                      <a:picLocks noChangeAspect="1" noChangeArrowheads="1"/>
                    </pic:cNvPicPr>
                  </pic:nvPicPr>
                  <pic:blipFill>
                    <a:blip r:embed="rId15" cstate="print"/>
                    <a:srcRect/>
                    <a:stretch>
                      <a:fillRect/>
                    </a:stretch>
                  </pic:blipFill>
                  <pic:spPr bwMode="auto">
                    <a:xfrm>
                      <a:off x="0" y="0"/>
                      <a:ext cx="2828925" cy="752475"/>
                    </a:xfrm>
                    <a:prstGeom prst="rect">
                      <a:avLst/>
                    </a:prstGeom>
                    <a:noFill/>
                    <a:ln w="9525">
                      <a:noFill/>
                      <a:miter lim="800000"/>
                      <a:headEnd/>
                      <a:tailEnd/>
                    </a:ln>
                  </pic:spPr>
                </pic:pic>
              </a:graphicData>
            </a:graphic>
          </wp:inline>
        </w:drawing>
      </w:r>
      <w:r w:rsidRPr="000223E0">
        <w:rPr>
          <w:rFonts w:ascii="Century Gothic" w:hAnsi="Century Gothic"/>
          <w:noProof/>
          <w:sz w:val="24"/>
          <w:szCs w:val="24"/>
          <w:lang w:eastAsia="it-IT"/>
        </w:rPr>
        <w:t>             (3.b)</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dove</w:t>
      </w:r>
    </w:p>
    <w:p w:rsidR="000223E0" w:rsidRPr="000223E0" w:rsidRDefault="000223E0" w:rsidP="000223E0">
      <w:pPr>
        <w:numPr>
          <w:ilvl w:val="0"/>
          <w:numId w:val="2"/>
        </w:numPr>
        <w:rPr>
          <w:rFonts w:ascii="Century Gothic" w:hAnsi="Century Gothic"/>
          <w:noProof/>
          <w:sz w:val="24"/>
          <w:szCs w:val="24"/>
          <w:lang w:eastAsia="it-IT"/>
        </w:rPr>
      </w:pPr>
      <w:r w:rsidRPr="000223E0">
        <w:rPr>
          <w:rFonts w:ascii="Century Gothic" w:hAnsi="Century Gothic"/>
          <w:noProof/>
          <w:sz w:val="24"/>
          <w:szCs w:val="24"/>
          <w:lang w:eastAsia="it-IT"/>
        </w:rPr>
        <w:t>A</w:t>
      </w:r>
      <w:r w:rsidRPr="000223E0">
        <w:rPr>
          <w:rFonts w:ascii="Century Gothic" w:hAnsi="Century Gothic"/>
          <w:noProof/>
          <w:sz w:val="24"/>
          <w:szCs w:val="24"/>
          <w:vertAlign w:val="subscript"/>
          <w:lang w:eastAsia="it-IT"/>
        </w:rPr>
        <w:t>R,x</w:t>
      </w:r>
      <w:r w:rsidRPr="000223E0">
        <w:rPr>
          <w:rFonts w:ascii="Century Gothic" w:hAnsi="Century Gothic"/>
          <w:noProof/>
          <w:sz w:val="24"/>
          <w:szCs w:val="24"/>
          <w:lang w:eastAsia="it-IT"/>
        </w:rPr>
        <w:t xml:space="preserve"> ed A</w:t>
      </w:r>
      <w:r w:rsidRPr="000223E0">
        <w:rPr>
          <w:rFonts w:ascii="Century Gothic" w:hAnsi="Century Gothic"/>
          <w:noProof/>
          <w:sz w:val="24"/>
          <w:szCs w:val="24"/>
          <w:vertAlign w:val="subscript"/>
          <w:lang w:eastAsia="it-IT"/>
        </w:rPr>
        <w:t>R,y</w:t>
      </w:r>
      <w:r w:rsidRPr="000223E0">
        <w:rPr>
          <w:rFonts w:ascii="Century Gothic" w:hAnsi="Century Gothic"/>
          <w:noProof/>
          <w:sz w:val="24"/>
          <w:szCs w:val="24"/>
          <w:lang w:eastAsia="it-IT"/>
        </w:rPr>
        <w:t xml:space="preserve"> sono le aree di muratura resistente in direzione x ed y rispettivamente;</w:t>
      </w:r>
    </w:p>
    <w:p w:rsidR="000223E0" w:rsidRPr="000223E0" w:rsidRDefault="000223E0" w:rsidP="000223E0">
      <w:pPr>
        <w:numPr>
          <w:ilvl w:val="0"/>
          <w:numId w:val="2"/>
        </w:numPr>
        <w:rPr>
          <w:rFonts w:ascii="Century Gothic" w:hAnsi="Century Gothic"/>
          <w:noProof/>
          <w:sz w:val="24"/>
          <w:szCs w:val="24"/>
          <w:lang w:eastAsia="it-IT"/>
        </w:rPr>
      </w:pPr>
      <w:r w:rsidRPr="000223E0">
        <w:rPr>
          <w:rFonts w:ascii="Century Gothic" w:hAnsi="Century Gothic"/>
          <w:noProof/>
          <w:sz w:val="24"/>
          <w:szCs w:val="24"/>
          <w:lang w:eastAsia="it-IT"/>
        </w:rPr>
        <w:t>A è la superficie lorda dell’edificio;</w:t>
      </w:r>
    </w:p>
    <w:p w:rsidR="000223E0" w:rsidRPr="000223E0" w:rsidRDefault="000223E0" w:rsidP="000223E0">
      <w:pPr>
        <w:numPr>
          <w:ilvl w:val="0"/>
          <w:numId w:val="2"/>
        </w:numPr>
        <w:rPr>
          <w:rFonts w:ascii="Century Gothic" w:hAnsi="Century Gothic"/>
          <w:noProof/>
          <w:sz w:val="24"/>
          <w:szCs w:val="24"/>
          <w:lang w:eastAsia="it-IT"/>
        </w:rPr>
      </w:pPr>
      <w:r w:rsidRPr="000223E0">
        <w:rPr>
          <w:rFonts w:ascii="Century Gothic" w:hAnsi="Century Gothic"/>
          <w:noProof/>
          <w:sz w:val="24"/>
          <w:szCs w:val="24"/>
          <w:lang w:eastAsia="it-IT"/>
        </w:rPr>
        <w:t>R</w:t>
      </w:r>
      <w:r w:rsidRPr="000223E0">
        <w:rPr>
          <w:rFonts w:ascii="Century Gothic" w:hAnsi="Century Gothic"/>
          <w:noProof/>
          <w:sz w:val="24"/>
          <w:szCs w:val="24"/>
          <w:vertAlign w:val="subscript"/>
          <w:lang w:eastAsia="it-IT"/>
        </w:rPr>
        <w:t>A,x</w:t>
      </w:r>
      <w:r w:rsidRPr="000223E0">
        <w:rPr>
          <w:rFonts w:ascii="Century Gothic" w:hAnsi="Century Gothic"/>
          <w:noProof/>
          <w:sz w:val="24"/>
          <w:szCs w:val="24"/>
          <w:lang w:eastAsia="it-IT"/>
        </w:rPr>
        <w:t xml:space="preserve"> ed R</w:t>
      </w:r>
      <w:r w:rsidRPr="000223E0">
        <w:rPr>
          <w:rFonts w:ascii="Century Gothic" w:hAnsi="Century Gothic"/>
          <w:noProof/>
          <w:sz w:val="24"/>
          <w:szCs w:val="24"/>
          <w:vertAlign w:val="subscript"/>
          <w:lang w:eastAsia="it-IT"/>
        </w:rPr>
        <w:t>A,y</w:t>
      </w:r>
      <w:r w:rsidRPr="000223E0">
        <w:rPr>
          <w:rFonts w:ascii="Century Gothic" w:hAnsi="Century Gothic"/>
          <w:noProof/>
          <w:sz w:val="24"/>
          <w:szCs w:val="24"/>
          <w:lang w:eastAsia="it-IT"/>
        </w:rPr>
        <w:t xml:space="preserve"> rappresentano il rapporto delle aree sopra riportate espresse in percentuale rispettivamente in direzione x ed y;</w:t>
      </w:r>
    </w:p>
    <w:p w:rsidR="000223E0" w:rsidRPr="000223E0" w:rsidRDefault="000223E0" w:rsidP="000223E0">
      <w:pPr>
        <w:numPr>
          <w:ilvl w:val="0"/>
          <w:numId w:val="2"/>
        </w:numPr>
        <w:rPr>
          <w:rFonts w:ascii="Century Gothic" w:hAnsi="Century Gothic"/>
          <w:noProof/>
          <w:sz w:val="24"/>
          <w:szCs w:val="24"/>
          <w:lang w:eastAsia="it-IT"/>
        </w:rPr>
      </w:pPr>
      <w:r w:rsidRPr="000223E0">
        <w:rPr>
          <w:rFonts w:ascii="Century Gothic" w:hAnsi="Century Gothic"/>
          <w:noProof/>
          <w:sz w:val="24"/>
          <w:szCs w:val="24"/>
          <w:lang w:eastAsia="it-IT"/>
        </w:rPr>
        <w:t>R</w:t>
      </w:r>
      <w:r w:rsidRPr="000223E0">
        <w:rPr>
          <w:rFonts w:ascii="Century Gothic" w:hAnsi="Century Gothic"/>
          <w:noProof/>
          <w:sz w:val="24"/>
          <w:szCs w:val="24"/>
          <w:vertAlign w:val="subscript"/>
          <w:lang w:eastAsia="it-IT"/>
        </w:rPr>
        <w:t>A,min</w:t>
      </w:r>
      <w:r w:rsidRPr="000223E0">
        <w:rPr>
          <w:rFonts w:ascii="Century Gothic" w:hAnsi="Century Gothic"/>
          <w:noProof/>
          <w:sz w:val="24"/>
          <w:szCs w:val="24"/>
          <w:lang w:eastAsia="it-IT"/>
        </w:rPr>
        <w:t xml:space="preserve"> è il valore minimo della percentuale di muratura riportato nella tabella 1.</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L’area A</w:t>
      </w:r>
      <w:r w:rsidRPr="000223E0">
        <w:rPr>
          <w:rFonts w:ascii="Century Gothic" w:hAnsi="Century Gothic"/>
          <w:noProof/>
          <w:sz w:val="24"/>
          <w:szCs w:val="24"/>
          <w:vertAlign w:val="subscript"/>
          <w:lang w:eastAsia="it-IT"/>
        </w:rPr>
        <w:t xml:space="preserve">R,x </w:t>
      </w:r>
      <w:r w:rsidRPr="000223E0">
        <w:rPr>
          <w:rFonts w:ascii="Century Gothic" w:hAnsi="Century Gothic"/>
          <w:noProof/>
          <w:sz w:val="24"/>
          <w:szCs w:val="24"/>
          <w:lang w:eastAsia="it-IT"/>
        </w:rPr>
        <w:t>(considerazioni analoghe valgono anche per A</w:t>
      </w:r>
      <w:r w:rsidRPr="000223E0">
        <w:rPr>
          <w:rFonts w:ascii="Century Gothic" w:hAnsi="Century Gothic"/>
          <w:noProof/>
          <w:sz w:val="24"/>
          <w:szCs w:val="24"/>
          <w:vertAlign w:val="subscript"/>
          <w:lang w:eastAsia="it-IT"/>
        </w:rPr>
        <w:t>R,y</w:t>
      </w:r>
      <w:r w:rsidRPr="000223E0">
        <w:rPr>
          <w:rFonts w:ascii="Century Gothic" w:hAnsi="Century Gothic"/>
          <w:noProof/>
          <w:sz w:val="24"/>
          <w:szCs w:val="24"/>
          <w:lang w:eastAsia="it-IT"/>
        </w:rPr>
        <w:t xml:space="preserve">) è data dalla somma di tutti gli elementi in muratura paralleli ad x, che sono idonei alla resistenza sismica, cioè tutti gli </w:t>
      </w:r>
      <w:r w:rsidRPr="000223E0">
        <w:rPr>
          <w:rFonts w:ascii="Century Gothic" w:hAnsi="Century Gothic"/>
          <w:noProof/>
          <w:sz w:val="24"/>
          <w:szCs w:val="24"/>
          <w:lang w:eastAsia="it-IT"/>
        </w:rPr>
        <w:lastRenderedPageBreak/>
        <w:t xml:space="preserve">elementi che rispettano i requisiti della </w:t>
      </w:r>
      <w:hyperlink r:id="rId16" w:history="1">
        <w:r w:rsidRPr="000223E0">
          <w:rPr>
            <w:rStyle w:val="Collegamentoipertestuale"/>
            <w:rFonts w:ascii="Century Gothic" w:hAnsi="Century Gothic"/>
            <w:noProof/>
            <w:sz w:val="24"/>
            <w:szCs w:val="24"/>
            <w:lang w:eastAsia="it-IT"/>
          </w:rPr>
          <w:t>tabella 7.8.II del D.M. 14/01/2008</w:t>
        </w:r>
      </w:hyperlink>
      <w:r w:rsidRPr="000223E0">
        <w:rPr>
          <w:rFonts w:ascii="Century Gothic" w:hAnsi="Century Gothic"/>
          <w:noProof/>
          <w:sz w:val="24"/>
          <w:szCs w:val="24"/>
          <w:lang w:eastAsia="it-IT"/>
        </w:rPr>
        <w:t xml:space="preserve">. Prendendo in considerazione la pianta riportata in figura 4, ed ipotizzando che gli elementi “9” e “12” non rispettino i requisiti della </w:t>
      </w:r>
      <w:hyperlink r:id="rId17" w:history="1">
        <w:r w:rsidRPr="000223E0">
          <w:rPr>
            <w:rStyle w:val="Collegamentoipertestuale"/>
            <w:rFonts w:ascii="Century Gothic" w:hAnsi="Century Gothic"/>
            <w:noProof/>
            <w:sz w:val="24"/>
            <w:szCs w:val="24"/>
            <w:lang w:eastAsia="it-IT"/>
          </w:rPr>
          <w:t>tabella 7.8.II del D.M. 14/01/2008</w:t>
        </w:r>
      </w:hyperlink>
      <w:r w:rsidRPr="000223E0">
        <w:rPr>
          <w:rFonts w:ascii="Century Gothic" w:hAnsi="Century Gothic"/>
          <w:noProof/>
          <w:sz w:val="24"/>
          <w:szCs w:val="24"/>
          <w:lang w:eastAsia="it-IT"/>
        </w:rPr>
        <w:t xml:space="preserve"> si ha:</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 xml:space="preserve">              </w:t>
      </w:r>
      <w:r w:rsidRPr="000223E0">
        <w:rPr>
          <w:rFonts w:ascii="Century Gothic" w:hAnsi="Century Gothic"/>
          <w:noProof/>
          <w:sz w:val="24"/>
          <w:szCs w:val="24"/>
          <w:lang w:eastAsia="it-IT"/>
        </w:rPr>
        <w:drawing>
          <wp:inline distT="0" distB="0" distL="0" distR="0">
            <wp:extent cx="2314575" cy="790575"/>
            <wp:effectExtent l="19050" t="0" r="9525" b="0"/>
            <wp:docPr id="64" name="Immagine 64" descr="https://www.edificiinmuratura.it/userfiles/Articoli/9_CostruzioniSemplici/immagin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edificiinmuratura.it/userfiles/Articoli/9_CostruzioniSemplici/immagine8.jpg"/>
                    <pic:cNvPicPr>
                      <a:picLocks noChangeAspect="1" noChangeArrowheads="1"/>
                    </pic:cNvPicPr>
                  </pic:nvPicPr>
                  <pic:blipFill>
                    <a:blip r:embed="rId18" cstate="print"/>
                    <a:srcRect/>
                    <a:stretch>
                      <a:fillRect/>
                    </a:stretch>
                  </pic:blipFill>
                  <pic:spPr bwMode="auto">
                    <a:xfrm>
                      <a:off x="0" y="0"/>
                      <a:ext cx="2314575" cy="790575"/>
                    </a:xfrm>
                    <a:prstGeom prst="rect">
                      <a:avLst/>
                    </a:prstGeom>
                    <a:noFill/>
                    <a:ln w="9525">
                      <a:noFill/>
                      <a:miter lim="800000"/>
                      <a:headEnd/>
                      <a:tailEnd/>
                    </a:ln>
                  </pic:spPr>
                </pic:pic>
              </a:graphicData>
            </a:graphic>
          </wp:inline>
        </w:drawing>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dove A</w:t>
      </w:r>
      <w:r w:rsidRPr="000223E0">
        <w:rPr>
          <w:rFonts w:ascii="Century Gothic" w:hAnsi="Century Gothic"/>
          <w:noProof/>
          <w:sz w:val="24"/>
          <w:szCs w:val="24"/>
          <w:vertAlign w:val="subscript"/>
          <w:lang w:eastAsia="it-IT"/>
        </w:rPr>
        <w:t>i</w:t>
      </w:r>
      <w:r w:rsidRPr="000223E0">
        <w:rPr>
          <w:rFonts w:ascii="Century Gothic" w:hAnsi="Century Gothic"/>
          <w:noProof/>
          <w:sz w:val="24"/>
          <w:szCs w:val="24"/>
          <w:lang w:eastAsia="it-IT"/>
        </w:rPr>
        <w:t xml:space="preserve"> è l’area dell’i-esimo elemento in direzione x. Analogamente si procede per gli elementi in direzione y.</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drawing>
          <wp:inline distT="0" distB="0" distL="0" distR="0">
            <wp:extent cx="6267450" cy="3524250"/>
            <wp:effectExtent l="19050" t="0" r="0" b="0"/>
            <wp:docPr id="65" name="Immagine 65" descr="https://www.edificiinmuratura.it/userfiles/Articoli/9_CostruzioniSemplici/immagin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edificiinmuratura.it/userfiles/Articoli/9_CostruzioniSemplici/immagine11.jpg"/>
                    <pic:cNvPicPr>
                      <a:picLocks noChangeAspect="1" noChangeArrowheads="1"/>
                    </pic:cNvPicPr>
                  </pic:nvPicPr>
                  <pic:blipFill>
                    <a:blip r:embed="rId19" cstate="print"/>
                    <a:srcRect/>
                    <a:stretch>
                      <a:fillRect/>
                    </a:stretch>
                  </pic:blipFill>
                  <pic:spPr bwMode="auto">
                    <a:xfrm>
                      <a:off x="0" y="0"/>
                      <a:ext cx="6267450" cy="3524250"/>
                    </a:xfrm>
                    <a:prstGeom prst="rect">
                      <a:avLst/>
                    </a:prstGeom>
                    <a:noFill/>
                    <a:ln w="9525">
                      <a:noFill/>
                      <a:miter lim="800000"/>
                      <a:headEnd/>
                      <a:tailEnd/>
                    </a:ln>
                  </pic:spPr>
                </pic:pic>
              </a:graphicData>
            </a:graphic>
          </wp:inline>
        </w:drawing>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Figura 4</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Il valore limite R</w:t>
      </w:r>
      <w:r w:rsidRPr="000223E0">
        <w:rPr>
          <w:rFonts w:ascii="Century Gothic" w:hAnsi="Century Gothic"/>
          <w:noProof/>
          <w:sz w:val="24"/>
          <w:szCs w:val="24"/>
          <w:vertAlign w:val="subscript"/>
          <w:lang w:eastAsia="it-IT"/>
        </w:rPr>
        <w:t>A,min</w:t>
      </w:r>
      <w:r w:rsidRPr="000223E0">
        <w:rPr>
          <w:rFonts w:ascii="Century Gothic" w:hAnsi="Century Gothic"/>
          <w:noProof/>
          <w:sz w:val="24"/>
          <w:szCs w:val="24"/>
          <w:lang w:eastAsia="it-IT"/>
        </w:rPr>
        <w:t xml:space="preserve"> si ottiene dalla tabella 1 in funzione del numero di piani e della sismicità del sito. Nel calcolo del coefficiente S (vedi relazione 3.2.5 del D.M. 14/01/2008), il coefficiente di amplificazione topografica S</w:t>
      </w:r>
      <w:r w:rsidRPr="000223E0">
        <w:rPr>
          <w:rFonts w:ascii="Century Gothic" w:hAnsi="Century Gothic"/>
          <w:noProof/>
          <w:sz w:val="24"/>
          <w:szCs w:val="24"/>
          <w:vertAlign w:val="subscript"/>
          <w:lang w:eastAsia="it-IT"/>
        </w:rPr>
        <w:t>T</w:t>
      </w:r>
      <w:r w:rsidRPr="000223E0">
        <w:rPr>
          <w:rFonts w:ascii="Century Gothic" w:hAnsi="Century Gothic"/>
          <w:noProof/>
          <w:sz w:val="24"/>
          <w:szCs w:val="24"/>
          <w:lang w:eastAsia="it-IT"/>
        </w:rPr>
        <w:t xml:space="preserve"> assume valore diverso da 1 solo nei casi in cui l’edificio appartiene alla classe d’uso III o IV. In questi ultimi casi sono da prendere come valori di S</w:t>
      </w:r>
      <w:r w:rsidRPr="000223E0">
        <w:rPr>
          <w:rFonts w:ascii="Century Gothic" w:hAnsi="Century Gothic"/>
          <w:noProof/>
          <w:sz w:val="24"/>
          <w:szCs w:val="24"/>
          <w:vertAlign w:val="subscript"/>
          <w:lang w:eastAsia="it-IT"/>
        </w:rPr>
        <w:t>T</w:t>
      </w:r>
      <w:r w:rsidRPr="000223E0">
        <w:rPr>
          <w:rFonts w:ascii="Century Gothic" w:hAnsi="Century Gothic"/>
          <w:noProof/>
          <w:sz w:val="24"/>
          <w:szCs w:val="24"/>
          <w:lang w:eastAsia="it-IT"/>
        </w:rPr>
        <w:t xml:space="preserve"> quelli riportati nella </w:t>
      </w:r>
      <w:hyperlink r:id="rId20" w:history="1">
        <w:r w:rsidRPr="000223E0">
          <w:rPr>
            <w:rStyle w:val="Collegamentoipertestuale"/>
            <w:rFonts w:ascii="Century Gothic" w:hAnsi="Century Gothic"/>
            <w:noProof/>
            <w:sz w:val="24"/>
            <w:szCs w:val="24"/>
            <w:lang w:eastAsia="it-IT"/>
          </w:rPr>
          <w:t>tabella 3.2.VI del D.M. 14/01/2008</w:t>
        </w:r>
      </w:hyperlink>
      <w:r w:rsidRPr="000223E0">
        <w:rPr>
          <w:rFonts w:ascii="Century Gothic" w:hAnsi="Century Gothic"/>
          <w:noProof/>
          <w:sz w:val="24"/>
          <w:szCs w:val="24"/>
          <w:lang w:eastAsia="it-IT"/>
        </w:rPr>
        <w:t>.</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 </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b/>
          <w:bCs/>
          <w:noProof/>
          <w:sz w:val="24"/>
          <w:szCs w:val="24"/>
          <w:lang w:eastAsia="it-IT"/>
        </w:rPr>
        <w:t>12. Verifica delle tensioni</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La verifica si ritiene soddisfatta quando è verificata la seguente relazione:</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 xml:space="preserve">           </w:t>
      </w:r>
      <w:r w:rsidRPr="000223E0">
        <w:rPr>
          <w:rFonts w:ascii="Century Gothic" w:hAnsi="Century Gothic"/>
          <w:noProof/>
          <w:sz w:val="24"/>
          <w:szCs w:val="24"/>
          <w:lang w:eastAsia="it-IT"/>
        </w:rPr>
        <w:drawing>
          <wp:inline distT="0" distB="0" distL="0" distR="0">
            <wp:extent cx="1800225" cy="695325"/>
            <wp:effectExtent l="19050" t="0" r="9525" b="0"/>
            <wp:docPr id="66" name="Immagine 66" descr="https://www.edificiinmuratura.it/userfiles/Articoli/9_CostruzioniSemplici/immagin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edificiinmuratura.it/userfiles/Articoli/9_CostruzioniSemplici/immagine12.jpg"/>
                    <pic:cNvPicPr>
                      <a:picLocks noChangeAspect="1" noChangeArrowheads="1"/>
                    </pic:cNvPicPr>
                  </pic:nvPicPr>
                  <pic:blipFill>
                    <a:blip r:embed="rId21" cstate="print"/>
                    <a:srcRect/>
                    <a:stretch>
                      <a:fillRect/>
                    </a:stretch>
                  </pic:blipFill>
                  <pic:spPr bwMode="auto">
                    <a:xfrm>
                      <a:off x="0" y="0"/>
                      <a:ext cx="1800225" cy="695325"/>
                    </a:xfrm>
                    <a:prstGeom prst="rect">
                      <a:avLst/>
                    </a:prstGeom>
                    <a:noFill/>
                    <a:ln w="9525">
                      <a:noFill/>
                      <a:miter lim="800000"/>
                      <a:headEnd/>
                      <a:tailEnd/>
                    </a:ln>
                  </pic:spPr>
                </pic:pic>
              </a:graphicData>
            </a:graphic>
          </wp:inline>
        </w:drawing>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lastRenderedPageBreak/>
        <w:t>La tensione caratteristica f</w:t>
      </w:r>
      <w:r w:rsidRPr="000223E0">
        <w:rPr>
          <w:rFonts w:ascii="Century Gothic" w:hAnsi="Century Gothic"/>
          <w:noProof/>
          <w:sz w:val="24"/>
          <w:szCs w:val="24"/>
          <w:vertAlign w:val="subscript"/>
          <w:lang w:eastAsia="it-IT"/>
        </w:rPr>
        <w:t>k</w:t>
      </w:r>
      <w:r w:rsidRPr="000223E0">
        <w:rPr>
          <w:rFonts w:ascii="Century Gothic" w:hAnsi="Century Gothic"/>
          <w:noProof/>
          <w:sz w:val="24"/>
          <w:szCs w:val="24"/>
          <w:lang w:eastAsia="it-IT"/>
        </w:rPr>
        <w:t xml:space="preserve"> si ottiene dalle prescrizioni riportate nel punto 11.10.3 del D.M. 14/01/2008. Il coefficiente di sicurezza assume valore pari a 4.2.</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La verifica deve essere effettata su ogni piano di cui è composto l’edificio. Lo sforzo normale si ottiene sommando tutti i carichi alla base di ogni piano (peso delle pareti, dei cordoli, dei solai, dei carichi accidentali, ecc.), mentre A è l’area totale dei muri portanti del piano considerato.</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Per poter essere considerata costruzione semplice, il manufatto deve rispettare tutti i 12 punti sopra riportati.</w:t>
      </w:r>
    </w:p>
    <w:p w:rsidR="000223E0" w:rsidRPr="000223E0" w:rsidRDefault="000223E0" w:rsidP="000223E0">
      <w:pPr>
        <w:ind w:left="-567"/>
        <w:rPr>
          <w:rFonts w:ascii="Century Gothic" w:hAnsi="Century Gothic"/>
          <w:noProof/>
          <w:sz w:val="24"/>
          <w:szCs w:val="24"/>
          <w:lang w:eastAsia="it-IT"/>
        </w:rPr>
      </w:pPr>
      <w:r w:rsidRPr="000223E0">
        <w:rPr>
          <w:rFonts w:ascii="Century Gothic" w:hAnsi="Century Gothic"/>
          <w:noProof/>
          <w:sz w:val="24"/>
          <w:szCs w:val="24"/>
          <w:lang w:eastAsia="it-IT"/>
        </w:rPr>
        <w:t> </w:t>
      </w:r>
    </w:p>
    <w:p w:rsidR="000223E0" w:rsidRPr="000223E0" w:rsidRDefault="000223E0" w:rsidP="000223E0">
      <w:pPr>
        <w:ind w:left="-567"/>
        <w:rPr>
          <w:rFonts w:ascii="Century Gothic" w:hAnsi="Century Gothic"/>
          <w:noProof/>
          <w:sz w:val="24"/>
          <w:szCs w:val="24"/>
          <w:lang w:eastAsia="it-IT"/>
        </w:rPr>
      </w:pPr>
    </w:p>
    <w:p w:rsidR="000223E0" w:rsidRPr="000223E0" w:rsidRDefault="000223E0" w:rsidP="000223E0">
      <w:pPr>
        <w:ind w:left="-567"/>
        <w:rPr>
          <w:rFonts w:ascii="Century Gothic" w:hAnsi="Century Gothic"/>
          <w:noProof/>
          <w:sz w:val="24"/>
          <w:szCs w:val="24"/>
          <w:lang w:eastAsia="it-IT"/>
        </w:rPr>
      </w:pPr>
    </w:p>
    <w:p w:rsidR="000223E0" w:rsidRPr="000223E0" w:rsidRDefault="000223E0" w:rsidP="000223E0">
      <w:pPr>
        <w:ind w:left="-567"/>
        <w:rPr>
          <w:rFonts w:ascii="Century Gothic" w:hAnsi="Century Gothic"/>
          <w:noProof/>
          <w:sz w:val="24"/>
          <w:szCs w:val="24"/>
          <w:lang w:eastAsia="it-IT"/>
        </w:rPr>
      </w:pPr>
    </w:p>
    <w:p w:rsidR="007D36A5" w:rsidRPr="000223E0" w:rsidRDefault="000223E0" w:rsidP="000223E0">
      <w:pPr>
        <w:ind w:left="-567"/>
        <w:rPr>
          <w:rFonts w:ascii="Century Gothic" w:hAnsi="Century Gothic"/>
          <w:sz w:val="24"/>
          <w:szCs w:val="24"/>
        </w:rPr>
      </w:pPr>
      <w:r w:rsidRPr="000223E0">
        <w:rPr>
          <w:rFonts w:ascii="Century Gothic" w:hAnsi="Century Gothic"/>
          <w:noProof/>
          <w:sz w:val="24"/>
          <w:szCs w:val="24"/>
          <w:lang w:eastAsia="it-IT"/>
        </w:rPr>
        <w:lastRenderedPageBreak/>
        <w:drawing>
          <wp:inline distT="0" distB="0" distL="0" distR="0">
            <wp:extent cx="2609850" cy="21431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2609850" cy="2143125"/>
                    </a:xfrm>
                    <a:prstGeom prst="rect">
                      <a:avLst/>
                    </a:prstGeom>
                    <a:noFill/>
                    <a:ln w="9525">
                      <a:noFill/>
                      <a:miter lim="800000"/>
                      <a:headEnd/>
                      <a:tailEnd/>
                    </a:ln>
                  </pic:spPr>
                </pic:pic>
              </a:graphicData>
            </a:graphic>
          </wp:inline>
        </w:drawing>
      </w:r>
      <w:r w:rsidRPr="000223E0">
        <w:rPr>
          <w:rFonts w:ascii="Century Gothic" w:hAnsi="Century Gothic"/>
          <w:noProof/>
          <w:sz w:val="24"/>
          <w:szCs w:val="24"/>
          <w:lang w:eastAsia="it-IT"/>
        </w:rPr>
        <w:drawing>
          <wp:inline distT="0" distB="0" distL="0" distR="0">
            <wp:extent cx="5810250" cy="4660305"/>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810250" cy="4660305"/>
                    </a:xfrm>
                    <a:prstGeom prst="rect">
                      <a:avLst/>
                    </a:prstGeom>
                    <a:noFill/>
                    <a:ln w="9525">
                      <a:noFill/>
                      <a:miter lim="800000"/>
                      <a:headEnd/>
                      <a:tailEnd/>
                    </a:ln>
                  </pic:spPr>
                </pic:pic>
              </a:graphicData>
            </a:graphic>
          </wp:inline>
        </w:drawing>
      </w:r>
    </w:p>
    <w:sectPr w:rsidR="007D36A5" w:rsidRPr="000223E0" w:rsidSect="000223E0">
      <w:pgSz w:w="11906" w:h="16838" w:code="9"/>
      <w:pgMar w:top="1417" w:right="849"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12CC"/>
    <w:multiLevelType w:val="multilevel"/>
    <w:tmpl w:val="A238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9E7B18"/>
    <w:multiLevelType w:val="multilevel"/>
    <w:tmpl w:val="5B92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0223E0"/>
    <w:rsid w:val="000223E0"/>
    <w:rsid w:val="00241407"/>
    <w:rsid w:val="00737C7F"/>
    <w:rsid w:val="007D36A5"/>
    <w:rsid w:val="00E3742E"/>
    <w:rsid w:val="00F564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6A5"/>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223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3E0"/>
    <w:rPr>
      <w:rFonts w:ascii="Tahoma" w:hAnsi="Tahoma" w:cs="Tahoma"/>
      <w:sz w:val="16"/>
      <w:szCs w:val="16"/>
    </w:rPr>
  </w:style>
  <w:style w:type="character" w:styleId="Collegamentoipertestuale">
    <w:name w:val="Hyperlink"/>
    <w:basedOn w:val="Carpredefinitoparagrafo"/>
    <w:uiPriority w:val="99"/>
    <w:unhideWhenUsed/>
    <w:rsid w:val="000223E0"/>
    <w:rPr>
      <w:color w:val="0000FF" w:themeColor="hyperlink"/>
      <w:u w:val="single"/>
    </w:rPr>
  </w:style>
  <w:style w:type="character" w:styleId="Collegamentovisitato">
    <w:name w:val="FollowedHyperlink"/>
    <w:basedOn w:val="Carpredefinitoparagrafo"/>
    <w:uiPriority w:val="99"/>
    <w:semiHidden/>
    <w:unhideWhenUsed/>
    <w:rsid w:val="000223E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7824593">
      <w:bodyDiv w:val="1"/>
      <w:marLeft w:val="0"/>
      <w:marRight w:val="0"/>
      <w:marTop w:val="0"/>
      <w:marBottom w:val="0"/>
      <w:divBdr>
        <w:top w:val="none" w:sz="0" w:space="0" w:color="auto"/>
        <w:left w:val="none" w:sz="0" w:space="0" w:color="auto"/>
        <w:bottom w:val="none" w:sz="0" w:space="0" w:color="auto"/>
        <w:right w:val="none" w:sz="0" w:space="0" w:color="auto"/>
      </w:divBdr>
    </w:div>
    <w:div w:id="15565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ificiinmuratura.it/Articolo/2105/prescrizioni-per-regolarita-degli-edifici-in-muratura"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3.jpeg"/><Relationship Id="rId12" Type="http://schemas.openxmlformats.org/officeDocument/2006/relationships/hyperlink" Target="https://www.edificiinmuratura.it/userfiles/Pagine/Tabelle/tabella_7_8_ii_dm.jpg" TargetMode="External"/><Relationship Id="rId17" Type="http://schemas.openxmlformats.org/officeDocument/2006/relationships/hyperlink" Target="https://www.edificiinmuratura.it/userfiles/Pagine/Tabelle/tabella_7_8_ii_dm.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dificiinmuratura.it/userfiles/Pagine/Tabelle/tabella_7_8_ii_dm.jpg" TargetMode="External"/><Relationship Id="rId20" Type="http://schemas.openxmlformats.org/officeDocument/2006/relationships/hyperlink" Target="https://www.edificiinmuratura.it/userfiles/Pagine/Tabelle/tabella_3_2_vi_dm.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dificiinmuratura.it/userfiles/Pagine/Tabelle/tabella_7_8_ii_dm.jpg"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media/image12.png"/><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edificiinmuratura.it/userfiles/Pagine/Tabelle/tabella_7_8_ii_dm.jpg" TargetMode="External"/><Relationship Id="rId14" Type="http://schemas.openxmlformats.org/officeDocument/2006/relationships/image" Target="media/image6.jpeg"/><Relationship Id="rId22" Type="http://schemas.openxmlformats.org/officeDocument/2006/relationships/image" Target="media/image1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1464</Words>
  <Characters>8346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cp:revision>
  <dcterms:created xsi:type="dcterms:W3CDTF">2018-05-06T14:59:00Z</dcterms:created>
  <dcterms:modified xsi:type="dcterms:W3CDTF">2018-05-06T15:24:00Z</dcterms:modified>
</cp:coreProperties>
</file>